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B6" w:rsidRDefault="009F77B6" w:rsidP="009F7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Совет депутатов</w:t>
      </w:r>
    </w:p>
    <w:p w:rsidR="009F77B6" w:rsidRDefault="009F77B6" w:rsidP="009F77B6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9F77B6" w:rsidRDefault="009F77B6" w:rsidP="009F7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F77B6" w:rsidRDefault="009F77B6" w:rsidP="009F7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7B6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 </w:t>
      </w:r>
    </w:p>
    <w:p w:rsidR="009F77B6" w:rsidRDefault="009F77B6" w:rsidP="009F7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9F77B6" w:rsidRDefault="009F77B6" w:rsidP="009F77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27.05</w:t>
      </w:r>
      <w:r>
        <w:rPr>
          <w:rFonts w:ascii="Times New Roman" w:hAnsi="Times New Roman" w:cs="Times New Roman"/>
          <w:sz w:val="28"/>
          <w:szCs w:val="28"/>
        </w:rPr>
        <w:t>.2019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Баклуши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127  </w:t>
      </w:r>
    </w:p>
    <w:p w:rsidR="009F77B6" w:rsidRDefault="009F77B6" w:rsidP="009F77B6">
      <w:pPr>
        <w:spacing w:after="0"/>
        <w:rPr>
          <w:rFonts w:ascii="Times New Roman" w:hAnsi="Times New Roman"/>
          <w:sz w:val="28"/>
          <w:szCs w:val="28"/>
        </w:rPr>
      </w:pPr>
    </w:p>
    <w:p w:rsidR="009F77B6" w:rsidRDefault="009F77B6" w:rsidP="009F77B6">
      <w:pPr>
        <w:pStyle w:val="a3"/>
        <w:jc w:val="center"/>
        <w:rPr>
          <w:szCs w:val="28"/>
        </w:rPr>
      </w:pPr>
      <w:r>
        <w:rPr>
          <w:szCs w:val="28"/>
        </w:rPr>
        <w:t>Об исполнении бюджета Баклушевского сельсовета Доволенского района</w:t>
      </w:r>
    </w:p>
    <w:p w:rsidR="009F77B6" w:rsidRDefault="009F77B6" w:rsidP="009F77B6">
      <w:pPr>
        <w:pStyle w:val="a3"/>
        <w:jc w:val="center"/>
        <w:rPr>
          <w:szCs w:val="28"/>
        </w:rPr>
      </w:pPr>
      <w:r>
        <w:rPr>
          <w:szCs w:val="28"/>
        </w:rPr>
        <w:t>Новосибирской области за 2018 год</w:t>
      </w:r>
    </w:p>
    <w:p w:rsidR="009F77B6" w:rsidRDefault="009F77B6" w:rsidP="009F77B6">
      <w:pPr>
        <w:pStyle w:val="a3"/>
      </w:pPr>
    </w:p>
    <w:p w:rsidR="009F77B6" w:rsidRDefault="009F77B6" w:rsidP="009F77B6">
      <w:pPr>
        <w:pStyle w:val="a3"/>
        <w:rPr>
          <w:szCs w:val="28"/>
        </w:rPr>
      </w:pPr>
      <w:r>
        <w:t xml:space="preserve">          </w:t>
      </w:r>
      <w:proofErr w:type="gramStart"/>
      <w:r>
        <w:t>Руководствуясь ст. 264.6, Бюджетного Кодекса Российской Федерации от 31.07.1998 года № 145-ФЗ (с изменениями и дополнениями) ст.14, Федерального Закона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01.07.2013года</w:t>
      </w:r>
      <w:r>
        <w:rPr>
          <w:szCs w:val="28"/>
        </w:rPr>
        <w:t xml:space="preserve"> № 65-н «Об утверждении Указаний о порядке применения бюджетной классификации Российской Федерации</w:t>
      </w:r>
      <w:r>
        <w:t>» (с изменениями), положением «О бюджетном процессе в Баклушевском сельсовете Доволенского района</w:t>
      </w:r>
      <w:proofErr w:type="gramEnd"/>
      <w:r>
        <w:t xml:space="preserve"> Новосибирской области» утвержденного решением девятой сессии пятого созыва Совета депутатов Баклушевского сельсовета Доволенского района Новосибирской области от 24.11.2016 года (с изменениями) Совет депутатов Баклушевского сельсовета Доволенского района Новосибирской области РЕШИЛ: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1.Утвердить исполнение бюджета Баклушевского сельсовета Доволенского района Новосибирской области за 2018 год: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1.1  общий объем доходов бюджета по</w:t>
      </w:r>
      <w:r>
        <w:rPr>
          <w:rFonts w:ascii="Times New Roman" w:hAnsi="Times New Roman" w:cs="Times New Roman"/>
          <w:sz w:val="28"/>
          <w:szCs w:val="28"/>
        </w:rPr>
        <w:t>селения в сумме 11377292,15 рублей</w:t>
      </w:r>
      <w:r w:rsidRPr="00027B57">
        <w:rPr>
          <w:rFonts w:ascii="Times New Roman" w:hAnsi="Times New Roman" w:cs="Times New Roman"/>
          <w:sz w:val="28"/>
          <w:szCs w:val="28"/>
        </w:rPr>
        <w:t>, в том числе общий объем межбюджетных трансфертов, получаемых из других б</w:t>
      </w:r>
      <w:r>
        <w:rPr>
          <w:rFonts w:ascii="Times New Roman" w:hAnsi="Times New Roman" w:cs="Times New Roman"/>
          <w:sz w:val="28"/>
          <w:szCs w:val="28"/>
        </w:rPr>
        <w:t>юджетов, в сумме 9591405,49 рублей</w:t>
      </w:r>
      <w:r w:rsidRPr="00027B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1.2 общий объем расходов  бюджета по</w:t>
      </w:r>
      <w:r>
        <w:rPr>
          <w:rFonts w:ascii="Times New Roman" w:hAnsi="Times New Roman" w:cs="Times New Roman"/>
          <w:sz w:val="28"/>
          <w:szCs w:val="28"/>
        </w:rPr>
        <w:t>селения в сумме 10680851,58 рублей</w:t>
      </w:r>
      <w:r w:rsidRPr="00027B57">
        <w:rPr>
          <w:rFonts w:ascii="Times New Roman" w:hAnsi="Times New Roman" w:cs="Times New Roman"/>
          <w:sz w:val="28"/>
          <w:szCs w:val="28"/>
        </w:rPr>
        <w:t>;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1.3 профицит бюджета поселения в сумме  696440,57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27B57">
        <w:rPr>
          <w:rFonts w:ascii="Times New Roman" w:hAnsi="Times New Roman" w:cs="Times New Roman"/>
          <w:sz w:val="28"/>
          <w:szCs w:val="28"/>
        </w:rPr>
        <w:t>.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2.Утвердить доходы бюджета Баклушевского сельсовета по кодам классификации доходов бюджетов за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7">
        <w:rPr>
          <w:rFonts w:ascii="Times New Roman" w:hAnsi="Times New Roman" w:cs="Times New Roman"/>
          <w:sz w:val="28"/>
          <w:szCs w:val="28"/>
        </w:rPr>
        <w:t>год согласно приложения № 1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7B57">
        <w:rPr>
          <w:rFonts w:ascii="Times New Roman" w:hAnsi="Times New Roman" w:cs="Times New Roman"/>
          <w:sz w:val="28"/>
          <w:szCs w:val="28"/>
        </w:rPr>
        <w:t>аблица</w:t>
      </w:r>
      <w:proofErr w:type="gramStart"/>
      <w:r w:rsidRPr="00027B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27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3. Утвердить приложение 2 (таблица 1) «Расходы бюджета Баклушевского сельсовета Доволенского района Новосибирской области по разделам, подразделам, целевым статьям группам и подгруппам видов расходов кла</w:t>
      </w:r>
      <w:r>
        <w:rPr>
          <w:rFonts w:ascii="Times New Roman" w:hAnsi="Times New Roman" w:cs="Times New Roman"/>
          <w:sz w:val="28"/>
          <w:szCs w:val="28"/>
        </w:rPr>
        <w:t>ссификации расходов за 2018 год</w:t>
      </w:r>
      <w:r w:rsidRPr="00027B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7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27B57">
        <w:rPr>
          <w:rFonts w:ascii="Times New Roman" w:hAnsi="Times New Roman" w:cs="Times New Roman"/>
          <w:sz w:val="28"/>
          <w:szCs w:val="28"/>
        </w:rPr>
        <w:t>.Утвердить приложение 3 (таблица 1) «Расходы бюджета по ведомственной структуре расходов бюджета Баклушевского сельсовета Доволенского района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за 2018год </w:t>
      </w:r>
      <w:r w:rsidRPr="00027B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B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B57">
        <w:rPr>
          <w:rFonts w:ascii="Times New Roman" w:hAnsi="Times New Roman" w:cs="Times New Roman"/>
          <w:sz w:val="28"/>
          <w:szCs w:val="28"/>
        </w:rPr>
        <w:t>5. Утвердить приложение 4 (таблица 1) «Источники финансирования дефицита бюджета Баклушевского сельсовета Доволенского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 за 2018 год</w:t>
      </w:r>
      <w:r w:rsidRPr="00027B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B57">
        <w:rPr>
          <w:rFonts w:ascii="Times New Roman" w:hAnsi="Times New Roman" w:cs="Times New Roman"/>
          <w:sz w:val="28"/>
          <w:szCs w:val="28"/>
        </w:rPr>
        <w:t>Глава Баклушевского сельсовета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А.Н. Федорец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Баклушевского сельсовета 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Н.И. Певнева</w:t>
      </w:r>
    </w:p>
    <w:p w:rsidR="009F77B6" w:rsidRPr="00027B57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Pr="00027B57" w:rsidRDefault="009F77B6" w:rsidP="009F7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7B6" w:rsidRPr="00027B57" w:rsidRDefault="009F77B6" w:rsidP="009F77B6">
      <w:pPr>
        <w:spacing w:after="0"/>
        <w:jc w:val="right"/>
        <w:rPr>
          <w:rFonts w:ascii="Times New Roman" w:hAnsi="Times New Roman" w:cs="Times New Roman"/>
        </w:rPr>
      </w:pPr>
    </w:p>
    <w:p w:rsidR="009F77B6" w:rsidRPr="00027B57" w:rsidRDefault="009F77B6" w:rsidP="009F77B6">
      <w:pPr>
        <w:spacing w:after="0"/>
        <w:jc w:val="right"/>
        <w:rPr>
          <w:rFonts w:ascii="Times New Roman" w:hAnsi="Times New Roman" w:cs="Times New Roman"/>
        </w:rPr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>
      <w:pPr>
        <w:jc w:val="right"/>
      </w:pPr>
    </w:p>
    <w:p w:rsidR="009F77B6" w:rsidRDefault="009F77B6" w:rsidP="009F77B6"/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269"/>
        <w:gridCol w:w="6521"/>
        <w:gridCol w:w="1417"/>
      </w:tblGrid>
      <w:tr w:rsidR="009F77B6" w:rsidTr="00AB01F3">
        <w:trPr>
          <w:trHeight w:val="300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</w:tcPr>
          <w:p w:rsidR="009F77B6" w:rsidRPr="00027B57" w:rsidRDefault="009F77B6" w:rsidP="00AB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к решению тридцать четвертой сессии Совета депутатов</w:t>
            </w: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Баклушевского сельсовета </w:t>
            </w: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Доволенского района Новосибирской области за 2018 год»</w:t>
            </w:r>
          </w:p>
        </w:tc>
      </w:tr>
      <w:tr w:rsidR="009F77B6" w:rsidTr="00AB01F3">
        <w:trPr>
          <w:trHeight w:val="25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27.05.</w:t>
            </w: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2019 г. № 127</w:t>
            </w:r>
          </w:p>
        </w:tc>
      </w:tr>
      <w:tr w:rsidR="009F77B6" w:rsidTr="00AB01F3">
        <w:trPr>
          <w:trHeight w:val="80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noWrap/>
            <w:vAlign w:val="bottom"/>
          </w:tcPr>
          <w:p w:rsidR="009F77B6" w:rsidRDefault="009F77B6" w:rsidP="00AB01F3">
            <w:pPr>
              <w:rPr>
                <w:sz w:val="20"/>
                <w:szCs w:val="20"/>
              </w:rPr>
            </w:pPr>
          </w:p>
        </w:tc>
      </w:tr>
      <w:tr w:rsidR="009F77B6" w:rsidTr="00AB01F3">
        <w:trPr>
          <w:trHeight w:val="315"/>
        </w:trPr>
        <w:tc>
          <w:tcPr>
            <w:tcW w:w="2269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  <w:hideMark/>
          </w:tcPr>
          <w:p w:rsidR="009F77B6" w:rsidRDefault="009F77B6" w:rsidP="00AB01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бюджета  Баклушевского сельсовета Доволенского района Новосибирской области за 2018г</w:t>
            </w:r>
          </w:p>
        </w:tc>
        <w:tc>
          <w:tcPr>
            <w:tcW w:w="1417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Сумма, руб.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1 785 886,66</w:t>
            </w:r>
          </w:p>
        </w:tc>
      </w:tr>
      <w:tr w:rsidR="009F77B6" w:rsidTr="00AB01F3">
        <w:trPr>
          <w:trHeight w:val="3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</w:t>
            </w:r>
            <w:r w:rsidRPr="00526CB6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432 694,78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430 398,09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182 1 01 02010 01 2100 110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505,86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1 565,77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182 1 01 02020 01 3000 110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182 1 01 02030 01 2100 110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0,06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182 1 01 02030 01 3000 110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125,00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b/>
                <w:sz w:val="16"/>
                <w:szCs w:val="16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588 041,72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262 011,00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уплаты акцизов на моторные масла для дизельных и (или) карбюраторных </w:t>
            </w:r>
            <w:r w:rsidRPr="00526CB6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526CB6">
              <w:rPr>
                <w:sz w:val="16"/>
                <w:szCs w:val="16"/>
              </w:rPr>
              <w:t>инжекторных</w:t>
            </w:r>
            <w:proofErr w:type="spellEnd"/>
            <w:r w:rsidRPr="00526CB6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lastRenderedPageBreak/>
              <w:t>2 523,32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lastRenderedPageBreak/>
              <w:t>100 1 03 02250 01 0000 110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382 212,72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-58 705,32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b/>
                <w:sz w:val="16"/>
                <w:szCs w:val="16"/>
              </w:rPr>
              <w:t xml:space="preserve"> 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2 485,50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2 485,50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b/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113 247,50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4 631,00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30,49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4 353,00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103 774,75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458,26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</w:t>
            </w:r>
            <w:r w:rsidRPr="00526CB6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5 100,00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5 100,00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</w:t>
            </w:r>
            <w:r w:rsidRPr="00526CB6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410 823,96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106 840,80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303 983,16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b/>
                <w:sz w:val="16"/>
                <w:szCs w:val="16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233 493,20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501 1 13 02065 10 0000 130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233 493,20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9 591 405,49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b/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</w:t>
            </w:r>
            <w:r w:rsidRPr="00526CB6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9 591 405,49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501 2 02 15001 10 0000 151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6 849 100,00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501 2 02 30024 10 0000 151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lastRenderedPageBreak/>
              <w:t>501 2 02 35118 10 0000 151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501 2 02 49999 10 0000 151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2 654 396,49</w:t>
            </w:r>
          </w:p>
        </w:tc>
      </w:tr>
      <w:tr w:rsidR="009F77B6" w:rsidTr="00AB01F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sz w:val="16"/>
                <w:szCs w:val="16"/>
              </w:rPr>
            </w:pPr>
            <w:r w:rsidRPr="00526CB6">
              <w:rPr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b/>
                <w:bCs/>
                <w:sz w:val="16"/>
                <w:szCs w:val="16"/>
              </w:rPr>
            </w:pPr>
            <w:r w:rsidRPr="00526CB6">
              <w:rPr>
                <w:b/>
                <w:bCs/>
                <w:sz w:val="16"/>
                <w:szCs w:val="16"/>
              </w:rPr>
              <w:t>11 377 292,15</w:t>
            </w:r>
          </w:p>
        </w:tc>
      </w:tr>
    </w:tbl>
    <w:p w:rsidR="009F77B6" w:rsidRDefault="009F77B6" w:rsidP="009F77B6">
      <w:pPr>
        <w:rPr>
          <w:b/>
          <w:sz w:val="20"/>
          <w:szCs w:val="2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F77B6" w:rsidRPr="00027B57" w:rsidTr="00AB01F3">
        <w:trPr>
          <w:trHeight w:val="300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</w:tcPr>
          <w:p w:rsidR="009F77B6" w:rsidRPr="00027B57" w:rsidRDefault="009F77B6" w:rsidP="00AB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к решению тридцать четвертой сессии Совета депутатов</w:t>
            </w:r>
          </w:p>
        </w:tc>
      </w:tr>
      <w:tr w:rsidR="009F77B6" w:rsidRPr="00027B57" w:rsidTr="00AB01F3">
        <w:trPr>
          <w:trHeight w:val="661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Баклушевского сельсовета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Доволенского района Новосибирской области  за 2018 год»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от 27.05.2019 г. № 127</w:t>
            </w:r>
          </w:p>
        </w:tc>
      </w:tr>
      <w:tr w:rsidR="009F77B6" w:rsidTr="00AB01F3">
        <w:trPr>
          <w:trHeight w:val="80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</w:tcPr>
          <w:p w:rsidR="009F77B6" w:rsidRDefault="009F77B6" w:rsidP="00AB01F3">
            <w:pPr>
              <w:rPr>
                <w:sz w:val="20"/>
                <w:szCs w:val="20"/>
              </w:rPr>
            </w:pPr>
          </w:p>
        </w:tc>
      </w:tr>
    </w:tbl>
    <w:p w:rsidR="009F77B6" w:rsidRDefault="009F77B6" w:rsidP="009F77B6">
      <w:pPr>
        <w:jc w:val="center"/>
        <w:rPr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"/>
        <w:gridCol w:w="9497"/>
      </w:tblGrid>
      <w:tr w:rsidR="009F77B6" w:rsidTr="00AB01F3">
        <w:trPr>
          <w:trHeight w:val="855"/>
        </w:trPr>
        <w:tc>
          <w:tcPr>
            <w:tcW w:w="299" w:type="dxa"/>
            <w:noWrap/>
            <w:vAlign w:val="bottom"/>
            <w:hideMark/>
          </w:tcPr>
          <w:p w:rsidR="009F77B6" w:rsidRDefault="009F77B6" w:rsidP="00AB01F3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bottom"/>
            <w:hideMark/>
          </w:tcPr>
          <w:p w:rsidR="009F77B6" w:rsidRDefault="009F77B6" w:rsidP="00AB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бюджета по разделам, подразделам, целевым статьям, группам и подгруппам </w:t>
            </w:r>
            <w:proofErr w:type="gramStart"/>
            <w:r>
              <w:rPr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 2018 год. </w:t>
            </w:r>
          </w:p>
        </w:tc>
      </w:tr>
    </w:tbl>
    <w:p w:rsidR="009F77B6" w:rsidRDefault="009F77B6" w:rsidP="009F77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683"/>
        <w:gridCol w:w="272"/>
        <w:gridCol w:w="260"/>
        <w:gridCol w:w="12"/>
        <w:gridCol w:w="272"/>
        <w:gridCol w:w="272"/>
        <w:gridCol w:w="248"/>
        <w:gridCol w:w="803"/>
        <w:gridCol w:w="803"/>
        <w:gridCol w:w="803"/>
        <w:gridCol w:w="676"/>
        <w:gridCol w:w="709"/>
        <w:gridCol w:w="850"/>
        <w:gridCol w:w="1139"/>
        <w:gridCol w:w="851"/>
        <w:gridCol w:w="1554"/>
      </w:tblGrid>
      <w:tr w:rsidR="009F77B6" w:rsidTr="00AB01F3">
        <w:trPr>
          <w:trHeight w:val="255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2 980 126,88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2 300 419,91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2 300 319,91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1 479 651,28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1 479 651,28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811 788,83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811 788,83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8 879,80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8 879,80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3 950,00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3 950,00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1 950,00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1 950,00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82151,00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82151,00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5 658,00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5 658,00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745 611,00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745 611,00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461 400,00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461 400,00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461 400,00</w:t>
            </w:r>
          </w:p>
        </w:tc>
      </w:tr>
      <w:tr w:rsidR="009F77B6" w:rsidTr="00AB01F3">
        <w:trPr>
          <w:trHeight w:val="7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2 717 245,06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2 115 525,06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179 220,00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80 00,00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99 220,00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99 220,00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59 536,49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59 536,49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59 536,49</w:t>
            </w:r>
          </w:p>
        </w:tc>
      </w:tr>
      <w:tr w:rsidR="009F77B6" w:rsidTr="00AB01F3">
        <w:trPr>
          <w:trHeight w:val="1234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1287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93 812,00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93 812,00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93 812,00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601720,00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63 920,00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63 920,00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63 920,00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3 960 887,72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3 960 887,72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3 418 427,72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2 039 435,88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2 039 435,88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1 378 787,99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1 378 787,99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203,85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203,85</w:t>
            </w:r>
          </w:p>
        </w:tc>
      </w:tr>
      <w:tr w:rsidR="009F77B6" w:rsidTr="00AB01F3">
        <w:trPr>
          <w:trHeight w:val="866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10 680 851,58</w:t>
            </w:r>
          </w:p>
        </w:tc>
      </w:tr>
    </w:tbl>
    <w:p w:rsidR="009F77B6" w:rsidRDefault="009F77B6" w:rsidP="009F77B6">
      <w:pPr>
        <w:rPr>
          <w:b/>
          <w:bCs/>
          <w:sz w:val="20"/>
          <w:szCs w:val="2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F77B6" w:rsidTr="00AB01F3">
        <w:trPr>
          <w:trHeight w:val="300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к решению тридцать четвертой сессии Совета депутатов</w:t>
            </w: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Баклушевского </w:t>
            </w: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сельсовета Доволенского района за 2017 год»</w:t>
            </w:r>
          </w:p>
        </w:tc>
      </w:tr>
      <w:tr w:rsidR="009F77B6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от 27.05.2019 г. № 127</w:t>
            </w:r>
          </w:p>
        </w:tc>
      </w:tr>
      <w:tr w:rsidR="009F77B6" w:rsidTr="00AB01F3">
        <w:trPr>
          <w:trHeight w:val="80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</w:tcPr>
          <w:p w:rsidR="009F77B6" w:rsidRPr="00027B57" w:rsidRDefault="009F77B6" w:rsidP="00AB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7B6" w:rsidRDefault="009F77B6" w:rsidP="009F77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Расходы бюджета по ведомственной структуре расходов бюджета Баклушевского сельсовета Доволенского района Новосибирской области за 2018год</w:t>
      </w:r>
      <w:proofErr w:type="gramStart"/>
      <w:r>
        <w:rPr>
          <w:b/>
          <w:sz w:val="20"/>
          <w:szCs w:val="20"/>
        </w:rPr>
        <w:t xml:space="preserve"> .</w:t>
      </w:r>
      <w:proofErr w:type="gramEnd"/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6"/>
        <w:gridCol w:w="236"/>
        <w:gridCol w:w="236"/>
        <w:gridCol w:w="236"/>
        <w:gridCol w:w="236"/>
        <w:gridCol w:w="3509"/>
        <w:gridCol w:w="709"/>
        <w:gridCol w:w="567"/>
        <w:gridCol w:w="567"/>
        <w:gridCol w:w="1133"/>
        <w:gridCol w:w="567"/>
        <w:gridCol w:w="1558"/>
      </w:tblGrid>
      <w:tr w:rsidR="009F77B6" w:rsidTr="00AB01F3">
        <w:trPr>
          <w:trHeight w:val="25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2 980 126,88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571 916,77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2 324 260,11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2 324 160,11</w:t>
            </w:r>
          </w:p>
        </w:tc>
      </w:tr>
      <w:tr w:rsidR="009F77B6" w:rsidTr="00AB01F3">
        <w:trPr>
          <w:trHeight w:val="67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1 495 740,00</w:t>
            </w:r>
          </w:p>
        </w:tc>
      </w:tr>
      <w:tr w:rsidR="009F77B6" w:rsidTr="00AB01F3">
        <w:trPr>
          <w:trHeight w:val="34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1 491 371,28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811 788,83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811 788,83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9F77B6" w:rsidTr="00AB01F3">
        <w:trPr>
          <w:trHeight w:val="527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9F77B6" w:rsidTr="00AB01F3">
        <w:trPr>
          <w:trHeight w:val="433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3 950,00</w:t>
            </w:r>
          </w:p>
        </w:tc>
      </w:tr>
      <w:tr w:rsidR="009F77B6" w:rsidTr="00AB01F3">
        <w:trPr>
          <w:trHeight w:val="264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3 950,00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1 950,00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1 950,00</w:t>
            </w:r>
          </w:p>
        </w:tc>
      </w:tr>
      <w:tr w:rsidR="009F77B6" w:rsidTr="00AB01F3">
        <w:trPr>
          <w:trHeight w:val="23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F77B6" w:rsidTr="00AB01F3">
        <w:trPr>
          <w:trHeight w:val="26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F77B6" w:rsidTr="00AB01F3">
        <w:trPr>
          <w:trHeight w:val="28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87 809,00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82151,00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82151,00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5 658,00</w:t>
            </w:r>
          </w:p>
        </w:tc>
      </w:tr>
      <w:tr w:rsidR="009F77B6" w:rsidTr="00AB01F3">
        <w:trPr>
          <w:trHeight w:val="497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5 658,00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43 525,00</w:t>
            </w:r>
          </w:p>
        </w:tc>
      </w:tr>
      <w:tr w:rsidR="009F77B6" w:rsidTr="00AB01F3">
        <w:trPr>
          <w:trHeight w:val="29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1 055 723,57</w:t>
            </w:r>
          </w:p>
        </w:tc>
      </w:tr>
      <w:tr w:rsidR="009F77B6" w:rsidTr="00AB01F3">
        <w:trPr>
          <w:trHeight w:val="26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1 055 723,57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1 512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,57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1 512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,57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1 512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,57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35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14 211</w:t>
            </w: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F77B6" w:rsidTr="00AB01F3">
        <w:trPr>
          <w:trHeight w:val="271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3 280 210,05</w:t>
            </w:r>
          </w:p>
        </w:tc>
      </w:tr>
      <w:tr w:rsidR="009F77B6" w:rsidTr="00AB01F3">
        <w:trPr>
          <w:trHeight w:val="251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2 245 525,06</w:t>
            </w:r>
          </w:p>
        </w:tc>
      </w:tr>
      <w:tr w:rsidR="009F77B6" w:rsidTr="00AB01F3">
        <w:trPr>
          <w:trHeight w:val="272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309 220,00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80 00,00</w:t>
            </w:r>
          </w:p>
        </w:tc>
      </w:tr>
      <w:tr w:rsidR="009F77B6" w:rsidTr="00AB01F3">
        <w:trPr>
          <w:trHeight w:val="384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229 220,00</w:t>
            </w:r>
          </w:p>
        </w:tc>
      </w:tr>
      <w:tr w:rsidR="009F77B6" w:rsidTr="00AB01F3">
        <w:trPr>
          <w:trHeight w:val="24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229 220,00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59 536,49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59 536,49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59 536,49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24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1 782 400,00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186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556,57</w:t>
            </w:r>
          </w:p>
        </w:tc>
      </w:tr>
      <w:tr w:rsidR="009F77B6" w:rsidTr="00AB01F3">
        <w:trPr>
          <w:trHeight w:val="64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 xml:space="preserve"> 93 812,00</w:t>
            </w:r>
          </w:p>
        </w:tc>
      </w:tr>
      <w:tr w:rsidR="009F77B6" w:rsidTr="00AB01F3">
        <w:trPr>
          <w:trHeight w:val="317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93 812,00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93 812,00</w:t>
            </w:r>
          </w:p>
        </w:tc>
      </w:tr>
      <w:tr w:rsidR="009F77B6" w:rsidTr="00AB01F3">
        <w:trPr>
          <w:trHeight w:val="15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1 034 684,99</w:t>
            </w:r>
          </w:p>
        </w:tc>
      </w:tr>
      <w:tr w:rsidR="009F77B6" w:rsidTr="00AB01F3">
        <w:trPr>
          <w:trHeight w:val="27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473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522 300,00</w:t>
            </w:r>
          </w:p>
        </w:tc>
      </w:tr>
      <w:tr w:rsidR="009F77B6" w:rsidTr="00AB01F3">
        <w:trPr>
          <w:trHeight w:val="222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463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496 884,99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496 884,99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496 884,99</w:t>
            </w:r>
          </w:p>
        </w:tc>
      </w:tr>
      <w:tr w:rsidR="009F77B6" w:rsidTr="00AB01F3">
        <w:trPr>
          <w:trHeight w:val="30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3 967 723,87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3 967 723,87</w:t>
            </w:r>
          </w:p>
        </w:tc>
      </w:tr>
      <w:tr w:rsidR="009F77B6" w:rsidTr="00AB01F3">
        <w:trPr>
          <w:trHeight w:val="147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3 425 263,87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2 043 475,88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2 043 475,88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1 378 787,99</w:t>
            </w:r>
          </w:p>
        </w:tc>
      </w:tr>
      <w:tr w:rsidR="009F77B6" w:rsidTr="00AB01F3">
        <w:trPr>
          <w:trHeight w:val="43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1 378 787,99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8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542 460,00</w:t>
            </w:r>
          </w:p>
        </w:tc>
      </w:tr>
      <w:tr w:rsidR="009F77B6" w:rsidTr="00AB01F3">
        <w:trPr>
          <w:trHeight w:val="256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8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427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149 487,12</w:t>
            </w:r>
          </w:p>
        </w:tc>
      </w:tr>
      <w:tr w:rsidR="009F77B6" w:rsidTr="00AB01F3">
        <w:trPr>
          <w:trHeight w:val="20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9F77B6" w:rsidTr="00AB01F3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7B6" w:rsidRPr="00526CB6" w:rsidRDefault="009F77B6" w:rsidP="00AB01F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10 680 851,56</w:t>
            </w:r>
          </w:p>
        </w:tc>
      </w:tr>
    </w:tbl>
    <w:p w:rsidR="009F77B6" w:rsidRDefault="009F77B6" w:rsidP="009F77B6">
      <w:pPr>
        <w:rPr>
          <w:b/>
          <w:bCs/>
          <w:sz w:val="20"/>
          <w:szCs w:val="2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F77B6" w:rsidRPr="00027B57" w:rsidTr="00AB01F3">
        <w:trPr>
          <w:trHeight w:val="300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9F77B6" w:rsidRPr="00027B57" w:rsidTr="00AB01F3">
        <w:trPr>
          <w:trHeight w:val="471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к решению тридцать четвертой сессии Совета депутатов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Баклушевского сельсовета 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Доволенского района Новосибирской области за 2018 год»</w:t>
            </w:r>
          </w:p>
        </w:tc>
      </w:tr>
      <w:tr w:rsidR="009F77B6" w:rsidRPr="00027B57" w:rsidTr="00AB01F3">
        <w:trPr>
          <w:trHeight w:val="255"/>
        </w:trPr>
        <w:tc>
          <w:tcPr>
            <w:tcW w:w="2694" w:type="dxa"/>
            <w:noWrap/>
            <w:vAlign w:val="bottom"/>
          </w:tcPr>
          <w:p w:rsidR="009F77B6" w:rsidRDefault="009F77B6" w:rsidP="00AB01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9F77B6" w:rsidRPr="00027B57" w:rsidRDefault="009F77B6" w:rsidP="00AB01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7B57">
              <w:rPr>
                <w:rFonts w:ascii="Times New Roman" w:hAnsi="Times New Roman" w:cs="Times New Roman"/>
                <w:sz w:val="24"/>
                <w:szCs w:val="24"/>
              </w:rPr>
              <w:t>от 27.05.2019 г. № 127</w:t>
            </w:r>
          </w:p>
        </w:tc>
      </w:tr>
    </w:tbl>
    <w:p w:rsidR="009F77B6" w:rsidRDefault="009F77B6" w:rsidP="009F77B6">
      <w:pPr>
        <w:rPr>
          <w:b/>
          <w:sz w:val="24"/>
          <w:szCs w:val="24"/>
        </w:rPr>
      </w:pPr>
    </w:p>
    <w:p w:rsidR="009F77B6" w:rsidRDefault="009F77B6" w:rsidP="009F77B6">
      <w:pPr>
        <w:pStyle w:val="a3"/>
        <w:jc w:val="center"/>
        <w:rPr>
          <w:b/>
          <w:bCs/>
          <w:i/>
          <w:iCs/>
          <w:sz w:val="24"/>
        </w:rPr>
      </w:pPr>
      <w:r>
        <w:rPr>
          <w:b/>
          <w:sz w:val="24"/>
        </w:rPr>
        <w:t>Источники финансирования дефицита бюджета Баклушевского сельсовета Доволенского района Новосибирской области за 2018год.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835"/>
        <w:gridCol w:w="1701"/>
      </w:tblGrid>
      <w:tr w:rsidR="009F77B6" w:rsidRPr="00526C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B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B6">
              <w:rPr>
                <w:rFonts w:ascii="Times New Roman" w:hAnsi="Times New Roman" w:cs="Times New Roman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</w:rPr>
            </w:pPr>
            <w:r w:rsidRPr="00526CB6">
              <w:rPr>
                <w:rFonts w:ascii="Times New Roman" w:hAnsi="Times New Roman" w:cs="Times New Roman"/>
              </w:rPr>
              <w:t xml:space="preserve">Утвержденные бюджетные </w:t>
            </w:r>
          </w:p>
          <w:p w:rsidR="009F77B6" w:rsidRPr="00526CB6" w:rsidRDefault="009F77B6" w:rsidP="00AB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B6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iCs/>
                <w:sz w:val="24"/>
              </w:rPr>
            </w:pPr>
            <w:r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-696440,57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iCs/>
                <w:sz w:val="24"/>
              </w:rPr>
            </w:pPr>
            <w:r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-696440,57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-11377292,15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-11377292,15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-11377292,15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-11377292,15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10680851,58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10680851,58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10680851,58</w:t>
            </w:r>
          </w:p>
        </w:tc>
      </w:tr>
      <w:tr w:rsidR="009F77B6" w:rsidTr="00AB01F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pStyle w:val="a3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B6" w:rsidRDefault="009F77B6" w:rsidP="00AB01F3">
            <w:pPr>
              <w:jc w:val="right"/>
              <w:rPr>
                <w:sz w:val="24"/>
                <w:szCs w:val="24"/>
              </w:rPr>
            </w:pPr>
            <w:r>
              <w:t>10680851,58</w:t>
            </w:r>
          </w:p>
        </w:tc>
      </w:tr>
    </w:tbl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Pr="00476CDB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Баклушевского </w:t>
      </w:r>
      <w:r w:rsidRPr="00476CDB">
        <w:rPr>
          <w:rFonts w:ascii="Times New Roman" w:hAnsi="Times New Roman" w:cs="Times New Roman"/>
          <w:sz w:val="28"/>
          <w:szCs w:val="28"/>
        </w:rPr>
        <w:t>сельсовета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Певнева</w:t>
      </w:r>
      <w:r w:rsidRPr="0047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Баклушевского</w:t>
      </w:r>
      <w:r w:rsidRPr="00476C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9F77B6" w:rsidRPr="00476CDB" w:rsidRDefault="009F77B6" w:rsidP="009F7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Федорец</w:t>
      </w: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B6" w:rsidRDefault="009F77B6" w:rsidP="009F77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7B6" w:rsidRPr="00476CDB" w:rsidRDefault="009F77B6" w:rsidP="009F77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A2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B6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0A2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7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77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F7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7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7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7B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77B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9F77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9F77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9F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F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77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9F7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77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F77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9F77B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9F77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9F77B6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9F77B6"/>
  </w:style>
  <w:style w:type="table" w:styleId="af1">
    <w:name w:val="Table Grid"/>
    <w:basedOn w:val="a1"/>
    <w:uiPriority w:val="59"/>
    <w:rsid w:val="009F7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77B6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9F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F77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7B6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9F77B6"/>
  </w:style>
  <w:style w:type="paragraph" w:customStyle="1" w:styleId="ConsPlusTitle">
    <w:name w:val="ConsPlusTitle"/>
    <w:rsid w:val="009F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9F77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uiPriority w:val="22"/>
    <w:qFormat/>
    <w:rsid w:val="009F77B6"/>
    <w:rPr>
      <w:b/>
      <w:bCs/>
    </w:rPr>
  </w:style>
  <w:style w:type="paragraph" w:styleId="af4">
    <w:name w:val="No Spacing"/>
    <w:qFormat/>
    <w:rsid w:val="009F77B6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9F77B6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9F77B6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9F77B6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77B6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9F77B6"/>
    <w:rPr>
      <w:color w:val="800080"/>
      <w:u w:val="single"/>
    </w:rPr>
  </w:style>
  <w:style w:type="paragraph" w:customStyle="1" w:styleId="xl66">
    <w:name w:val="xl66"/>
    <w:basedOn w:val="a"/>
    <w:rsid w:val="009F7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9F77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9F77B6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F77B6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F7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F7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9F7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F7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F77B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9F77B6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9F77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9F77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9F77B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9F77B6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9F77B6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9F77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9F77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9F77B6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9F77B6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9F77B6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9F77B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9F77B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7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77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F7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7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7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7B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77B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9F77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9F77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9F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F7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77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F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9F7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77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F77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9F77B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9F77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9F77B6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9F77B6"/>
  </w:style>
  <w:style w:type="table" w:styleId="af1">
    <w:name w:val="Table Grid"/>
    <w:basedOn w:val="a1"/>
    <w:uiPriority w:val="59"/>
    <w:rsid w:val="009F7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77B6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iPriority w:val="99"/>
    <w:unhideWhenUsed/>
    <w:rsid w:val="009F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F77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7B6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9F77B6"/>
  </w:style>
  <w:style w:type="paragraph" w:customStyle="1" w:styleId="ConsPlusTitle">
    <w:name w:val="ConsPlusTitle"/>
    <w:rsid w:val="009F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9F77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uiPriority w:val="22"/>
    <w:qFormat/>
    <w:rsid w:val="009F77B6"/>
    <w:rPr>
      <w:b/>
      <w:bCs/>
    </w:rPr>
  </w:style>
  <w:style w:type="paragraph" w:styleId="af4">
    <w:name w:val="No Spacing"/>
    <w:qFormat/>
    <w:rsid w:val="009F77B6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9F77B6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9F77B6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9F77B6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77B6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9F77B6"/>
    <w:rPr>
      <w:color w:val="800080"/>
      <w:u w:val="single"/>
    </w:rPr>
  </w:style>
  <w:style w:type="paragraph" w:customStyle="1" w:styleId="xl66">
    <w:name w:val="xl66"/>
    <w:basedOn w:val="a"/>
    <w:rsid w:val="009F7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9F77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9F77B6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F77B6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F7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F77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9F77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F77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F77B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9F77B6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9F77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9F77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9F77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9F77B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9F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9F77B6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9F77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9F77B6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9F77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9F77B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9F77B6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9F77B6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F77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9F77B6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9F77B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9F77B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5324</Words>
  <Characters>30349</Characters>
  <Application>Microsoft Office Word</Application>
  <DocSecurity>0</DocSecurity>
  <Lines>252</Lines>
  <Paragraphs>71</Paragraphs>
  <ScaleCrop>false</ScaleCrop>
  <Company/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2019-08-05T08:22:00Z</dcterms:created>
  <dcterms:modified xsi:type="dcterms:W3CDTF">2019-08-05T08:23:00Z</dcterms:modified>
</cp:coreProperties>
</file>