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7" w:rsidRDefault="00364657" w:rsidP="00364657">
      <w:pPr>
        <w:jc w:val="center"/>
      </w:pPr>
      <w:r w:rsidRPr="000C0540">
        <w:rPr>
          <w:sz w:val="32"/>
          <w:szCs w:val="32"/>
        </w:rPr>
        <w:t xml:space="preserve">Доклад </w:t>
      </w:r>
      <w:r w:rsidR="00B7195A" w:rsidRPr="000C0540">
        <w:rPr>
          <w:sz w:val="32"/>
          <w:szCs w:val="32"/>
        </w:rPr>
        <w:t xml:space="preserve">Баклушевского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458D0">
        <w:rPr>
          <w:b/>
          <w:sz w:val="32"/>
          <w:szCs w:val="32"/>
        </w:rPr>
        <w:t>201</w:t>
      </w:r>
      <w:r w:rsidR="00AD14E6">
        <w:rPr>
          <w:b/>
          <w:sz w:val="32"/>
          <w:szCs w:val="32"/>
        </w:rPr>
        <w:t>8</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8"/>
          <w:szCs w:val="28"/>
        </w:rPr>
        <w:t> </w:t>
      </w:r>
      <w:proofErr w:type="gramEnd"/>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Баклушевского</w:t>
      </w:r>
      <w:r w:rsidRPr="00870FE1">
        <w:rPr>
          <w:sz w:val="28"/>
          <w:szCs w:val="28"/>
        </w:rPr>
        <w:t xml:space="preserve"> сельсовета Доволенского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364657">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364657">
      <w:pPr>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870FE1">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364657">
      <w:pPr>
        <w:rPr>
          <w:sz w:val="28"/>
          <w:szCs w:val="28"/>
          <w:lang w:eastAsia="en-US"/>
        </w:rPr>
      </w:pPr>
      <w:r>
        <w:rPr>
          <w:sz w:val="28"/>
          <w:szCs w:val="28"/>
          <w:lang w:eastAsia="en-US"/>
        </w:rPr>
        <w:lastRenderedPageBreak/>
        <w:t>- С</w:t>
      </w:r>
      <w:r w:rsidR="00364657"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70FE1" w:rsidRPr="00870FE1" w:rsidRDefault="00870FE1" w:rsidP="00870FE1">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B7195A">
      <w:pPr>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Pr="00D906BC">
        <w:rPr>
          <w:sz w:val="28"/>
          <w:szCs w:val="28"/>
        </w:rPr>
        <w:t xml:space="preserve"> администрации № 44 от 10.12.2009, (с изменениями от 17.06.2010 № 31, от 30.09.2011 № 52)</w:t>
      </w:r>
      <w:r>
        <w:rPr>
          <w:sz w:val="28"/>
          <w:szCs w:val="28"/>
        </w:rPr>
        <w:t xml:space="preserve"> </w:t>
      </w:r>
      <w:r w:rsidRPr="00D906BC">
        <w:rPr>
          <w:sz w:val="28"/>
          <w:szCs w:val="28"/>
        </w:rPr>
        <w:t>«Об утверждении административного регламента  по осуществлению муниципального земельного контроля на территории Баклушевского сельсовета»</w:t>
      </w:r>
      <w:r>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66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сохранностью автомобильных дорог местного значения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72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жилищного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68 от 17.10.2013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лесного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74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за использованием</w:t>
      </w:r>
      <w:r w:rsidR="00364657">
        <w:rPr>
          <w:sz w:val="28"/>
          <w:szCs w:val="28"/>
        </w:rPr>
        <w:t xml:space="preserve"> и охраной недр при добыче </w:t>
      </w:r>
      <w:proofErr w:type="spellStart"/>
      <w:proofErr w:type="gramStart"/>
      <w:r w:rsidR="00364657" w:rsidRPr="00D906BC">
        <w:rPr>
          <w:sz w:val="28"/>
          <w:szCs w:val="28"/>
        </w:rPr>
        <w:t>общераспростра</w:t>
      </w:r>
      <w:r w:rsidR="00364657">
        <w:rPr>
          <w:sz w:val="28"/>
          <w:szCs w:val="28"/>
        </w:rPr>
        <w:t>-</w:t>
      </w:r>
      <w:r w:rsidR="00364657" w:rsidRPr="00D906BC">
        <w:rPr>
          <w:sz w:val="28"/>
          <w:szCs w:val="28"/>
        </w:rPr>
        <w:t>нённых</w:t>
      </w:r>
      <w:proofErr w:type="spellEnd"/>
      <w:proofErr w:type="gramEnd"/>
      <w:r w:rsidR="00364657" w:rsidRPr="00D906BC">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73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67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соблюдением законодательства в области розничной продажи алкогольной продукции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 xml:space="preserve">м </w:t>
      </w:r>
      <w:r w:rsidR="00364657" w:rsidRPr="00D906BC">
        <w:rPr>
          <w:sz w:val="28"/>
          <w:szCs w:val="28"/>
        </w:rPr>
        <w:t xml:space="preserve"> администрации № 70 от 11.11.2013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w:t>
      </w:r>
      <w:r w:rsidR="00364657">
        <w:rPr>
          <w:sz w:val="28"/>
          <w:szCs w:val="28"/>
        </w:rPr>
        <w:t xml:space="preserve"> </w:t>
      </w:r>
      <w:r w:rsidR="00364657" w:rsidRPr="00D906BC">
        <w:rPr>
          <w:sz w:val="28"/>
          <w:szCs w:val="28"/>
        </w:rPr>
        <w:t>представлением</w:t>
      </w:r>
      <w:r w:rsidR="00364657">
        <w:rPr>
          <w:sz w:val="28"/>
          <w:szCs w:val="28"/>
        </w:rPr>
        <w:t xml:space="preserve"> </w:t>
      </w:r>
      <w:r w:rsidR="00364657" w:rsidRPr="00D906BC">
        <w:rPr>
          <w:sz w:val="28"/>
          <w:szCs w:val="28"/>
        </w:rPr>
        <w:t>обязательного экземпляра на территории Баклушевского сельсовета»</w:t>
      </w:r>
      <w:r w:rsidR="00364657">
        <w:rPr>
          <w:sz w:val="28"/>
          <w:szCs w:val="28"/>
        </w:rPr>
        <w:t>.</w:t>
      </w:r>
    </w:p>
    <w:p w:rsidR="00364657" w:rsidRPr="00E66086" w:rsidRDefault="00364657" w:rsidP="00364657">
      <w:pPr>
        <w:rPr>
          <w:color w:val="FF0000"/>
          <w:sz w:val="28"/>
          <w:szCs w:val="28"/>
          <w:lang w:eastAsia="en-US"/>
        </w:rPr>
      </w:pP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AD14E6" w:rsidRPr="00AD14E6">
        <w:rPr>
          <w:sz w:val="28"/>
          <w:szCs w:val="28"/>
          <w:u w:val="single"/>
        </w:rPr>
        <w:t>https://admbaklush.nso.ru</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lastRenderedPageBreak/>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70FE1" w:rsidRPr="00870FE1">
        <w:rPr>
          <w:sz w:val="28"/>
          <w:szCs w:val="28"/>
          <w:lang w:eastAsia="ru-RU"/>
        </w:rPr>
        <w:t xml:space="preserve">Баклушевского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70FE1" w:rsidRPr="00870FE1">
        <w:rPr>
          <w:sz w:val="28"/>
          <w:szCs w:val="28"/>
        </w:rPr>
        <w:t xml:space="preserve">Баклушевского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lastRenderedPageBreak/>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7"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364657" w:rsidRDefault="00364657" w:rsidP="00364657">
      <w:pPr>
        <w:pStyle w:val="a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Pr>
          <w:sz w:val="28"/>
          <w:szCs w:val="28"/>
        </w:rPr>
        <w:lastRenderedPageBreak/>
        <w:t>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C91DA3" w:rsidP="00364657">
      <w:pPr>
        <w:pStyle w:val="a7"/>
        <w:jc w:val="both"/>
        <w:rPr>
          <w:sz w:val="28"/>
          <w:szCs w:val="28"/>
        </w:rPr>
      </w:pPr>
      <w:hyperlink r:id="rId9" w:history="1">
        <w:r w:rsidR="00364657">
          <w:rPr>
            <w:rStyle w:val="a8"/>
            <w:sz w:val="28"/>
            <w:szCs w:val="28"/>
          </w:rPr>
          <w:t>-</w:t>
        </w:r>
      </w:hyperlink>
      <w:r w:rsidR="00364657">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Pr>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C91DA3" w:rsidP="00364657">
      <w:pPr>
        <w:pStyle w:val="a7"/>
        <w:jc w:val="both"/>
        <w:rPr>
          <w:sz w:val="28"/>
          <w:szCs w:val="28"/>
        </w:rPr>
      </w:pPr>
      <w:hyperlink r:id="rId10"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9323E5" w:rsidRDefault="009323E5" w:rsidP="00364657">
      <w:pPr>
        <w:rPr>
          <w:sz w:val="32"/>
          <w:szCs w:val="32"/>
        </w:rPr>
      </w:pPr>
      <w:bookmarkStart w:id="0" w:name="_GoBack"/>
      <w:bookmarkEnd w:id="0"/>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70FE1" w:rsidRPr="00870FE1">
        <w:rPr>
          <w:sz w:val="28"/>
          <w:szCs w:val="28"/>
          <w:lang w:eastAsia="ru-RU"/>
        </w:rPr>
        <w:t xml:space="preserve">Баклушевского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458D0">
        <w:rPr>
          <w:sz w:val="28"/>
          <w:szCs w:val="28"/>
        </w:rPr>
        <w:t>201</w:t>
      </w:r>
      <w:r w:rsidR="00AD14E6">
        <w:rPr>
          <w:sz w:val="28"/>
          <w:szCs w:val="28"/>
        </w:rPr>
        <w:t xml:space="preserve">8 </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В 201</w:t>
      </w:r>
      <w:r w:rsidR="00AD14E6">
        <w:rPr>
          <w:sz w:val="28"/>
          <w:szCs w:val="28"/>
        </w:rPr>
        <w:t>8</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70FE1" w:rsidRPr="00870FE1">
        <w:rPr>
          <w:sz w:val="28"/>
          <w:szCs w:val="28"/>
        </w:rPr>
        <w:t xml:space="preserve">Баклушевского </w:t>
      </w:r>
      <w:r w:rsidRPr="00870FE1">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в 201</w:t>
      </w:r>
      <w:r w:rsidR="00AD14E6">
        <w:rPr>
          <w:iCs/>
          <w:sz w:val="28"/>
          <w:szCs w:val="28"/>
        </w:rPr>
        <w:t>8</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В 2</w:t>
      </w:r>
      <w:r w:rsidR="00C458D0">
        <w:rPr>
          <w:sz w:val="28"/>
          <w:szCs w:val="28"/>
        </w:rPr>
        <w:t>01</w:t>
      </w:r>
      <w:r w:rsidR="00AD14E6">
        <w:rPr>
          <w:sz w:val="28"/>
          <w:szCs w:val="28"/>
        </w:rPr>
        <w:t>8</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w:t>
      </w:r>
      <w:r>
        <w:rPr>
          <w:sz w:val="28"/>
          <w:szCs w:val="28"/>
        </w:rPr>
        <w:lastRenderedPageBreak/>
        <w:t xml:space="preserve">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w:t>
      </w:r>
      <w:r w:rsidR="00AD14E6">
        <w:rPr>
          <w:sz w:val="28"/>
          <w:szCs w:val="28"/>
        </w:rPr>
        <w:t>троля были проведены проверки (</w:t>
      </w:r>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lastRenderedPageBreak/>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8"/>
          <w:szCs w:val="28"/>
        </w:rPr>
        <w:lastRenderedPageBreak/>
        <w:t>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AD14E6">
        <w:rPr>
          <w:sz w:val="28"/>
          <w:szCs w:val="28"/>
        </w:rPr>
        <w:t>ного и техногенного характера (</w:t>
      </w:r>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w:t>
      </w:r>
      <w:proofErr w:type="gramStart"/>
      <w:r>
        <w:rPr>
          <w:sz w:val="28"/>
          <w:szCs w:val="28"/>
          <w:lang w:eastAsia="ru-RU"/>
        </w:rPr>
        <w:t xml:space="preserve">( </w:t>
      </w:r>
      <w:proofErr w:type="gramEnd"/>
      <w:r>
        <w:rPr>
          <w:sz w:val="28"/>
          <w:szCs w:val="28"/>
          <w:lang w:eastAsia="ru-RU"/>
        </w:rPr>
        <w:t>в тыс.</w:t>
      </w:r>
      <w:r w:rsidR="00AD14E6">
        <w:rPr>
          <w:sz w:val="28"/>
          <w:szCs w:val="28"/>
          <w:lang w:eastAsia="ru-RU"/>
        </w:rPr>
        <w:t xml:space="preserve"> </w:t>
      </w:r>
      <w:r>
        <w:rPr>
          <w:sz w:val="28"/>
          <w:szCs w:val="28"/>
          <w:lang w:eastAsia="ru-RU"/>
        </w:rPr>
        <w:t>рублей)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В 201</w:t>
      </w:r>
      <w:r w:rsidR="00AD14E6">
        <w:rPr>
          <w:sz w:val="28"/>
          <w:szCs w:val="28"/>
        </w:rPr>
        <w:t>8</w:t>
      </w:r>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 xml:space="preserve">Повышению эффективности осуществления муниципального  контроля </w:t>
            </w:r>
            <w:r w:rsidRPr="009933D8">
              <w:rPr>
                <w:sz w:val="28"/>
                <w:szCs w:val="28"/>
                <w:lang w:eastAsia="ru-RU"/>
              </w:rPr>
              <w:lastRenderedPageBreak/>
              <w:t>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Default="00364657" w:rsidP="00364657">
      <w:pPr>
        <w:rPr>
          <w:sz w:val="32"/>
          <w:szCs w:val="32"/>
        </w:rPr>
      </w:pPr>
    </w:p>
    <w:p w:rsidR="00364657" w:rsidRDefault="00364657" w:rsidP="00364657">
      <w:pPr>
        <w:rPr>
          <w:sz w:val="32"/>
          <w:szCs w:val="32"/>
        </w:rPr>
      </w:pPr>
    </w:p>
    <w:p w:rsidR="00364657" w:rsidRPr="00886888"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364657" w:rsidRDefault="00364657" w:rsidP="00364657">
      <w:pPr>
        <w:rPr>
          <w:sz w:val="32"/>
          <w:szCs w:val="32"/>
        </w:rPr>
      </w:pPr>
    </w:p>
    <w:p w:rsidR="00364657" w:rsidRDefault="00364657" w:rsidP="00364657"/>
    <w:p w:rsidR="00364657" w:rsidRDefault="00364657" w:rsidP="00364657">
      <w:pPr>
        <w:rPr>
          <w:sz w:val="32"/>
          <w:szCs w:val="32"/>
        </w:rPr>
      </w:pPr>
    </w:p>
    <w:p w:rsidR="00364657" w:rsidRPr="00EE11DE" w:rsidRDefault="00EE11DE" w:rsidP="00364657">
      <w:pPr>
        <w:rPr>
          <w:sz w:val="28"/>
          <w:szCs w:val="28"/>
        </w:rPr>
      </w:pPr>
      <w:r w:rsidRPr="00EE11DE">
        <w:rPr>
          <w:sz w:val="28"/>
          <w:szCs w:val="28"/>
        </w:rPr>
        <w:t>Глава Баклушевского сельсовета                                                     А.Н. Федорец</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sectPr w:rsidR="0078620A"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A3" w:rsidRDefault="00C91DA3">
      <w:r>
        <w:separator/>
      </w:r>
    </w:p>
  </w:endnote>
  <w:endnote w:type="continuationSeparator" w:id="0">
    <w:p w:rsidR="00C91DA3" w:rsidRDefault="00C9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8C74C3">
    <w:pPr>
      <w:pStyle w:val="a5"/>
      <w:jc w:val="center"/>
    </w:pPr>
    <w:r>
      <w:fldChar w:fldCharType="begin"/>
    </w:r>
    <w:r>
      <w:instrText xml:space="preserve"> PAGE   \* MERGEFORMAT </w:instrText>
    </w:r>
    <w:r>
      <w:fldChar w:fldCharType="separate"/>
    </w:r>
    <w:r w:rsidR="009323E5">
      <w:rPr>
        <w:noProof/>
      </w:rPr>
      <w:t>7</w:t>
    </w:r>
    <w:r>
      <w:fldChar w:fldCharType="end"/>
    </w:r>
  </w:p>
  <w:p w:rsidR="00404177" w:rsidRDefault="00C91D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A3" w:rsidRDefault="00C91DA3">
      <w:r>
        <w:separator/>
      </w:r>
    </w:p>
  </w:footnote>
  <w:footnote w:type="continuationSeparator" w:id="0">
    <w:p w:rsidR="00C91DA3" w:rsidRDefault="00C9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C91DA3"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0"/>
    <w:rsid w:val="000066A1"/>
    <w:rsid w:val="000C0540"/>
    <w:rsid w:val="001E7813"/>
    <w:rsid w:val="00364657"/>
    <w:rsid w:val="00576DC3"/>
    <w:rsid w:val="00605D50"/>
    <w:rsid w:val="0078620A"/>
    <w:rsid w:val="00870FE1"/>
    <w:rsid w:val="008C74C3"/>
    <w:rsid w:val="009323E5"/>
    <w:rsid w:val="009C5883"/>
    <w:rsid w:val="00A12F60"/>
    <w:rsid w:val="00AD14E6"/>
    <w:rsid w:val="00B514DF"/>
    <w:rsid w:val="00B7195A"/>
    <w:rsid w:val="00C458D0"/>
    <w:rsid w:val="00C91DA3"/>
    <w:rsid w:val="00D2581F"/>
    <w:rsid w:val="00DA6450"/>
    <w:rsid w:val="00EE11DE"/>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838;fld=134;dst=100324"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3364</Words>
  <Characters>19180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User</cp:lastModifiedBy>
  <cp:revision>15</cp:revision>
  <dcterms:created xsi:type="dcterms:W3CDTF">2017-01-19T03:48:00Z</dcterms:created>
  <dcterms:modified xsi:type="dcterms:W3CDTF">2020-04-09T04:22:00Z</dcterms:modified>
</cp:coreProperties>
</file>