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зарегистрировать право по мировому соглашению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Права на недвижимое имущество нередко являются предметом судебного спора. На любой стадии судебного процесса стороны вправе заключить мировое соглашение.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Мировое соглашение заключается в простой письменной форме                              и утверждается судом. В таком случае иск не рассматривается по существу,      и производство по делу прекращается.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540"/>
        <w:jc w:val="both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В мировом соглашении указываются сведения об условиях, о размере                   и сроках исполнения обязательств друг перед другом или одной стороной перед друго</w:t>
      </w:r>
      <w:r>
        <w:rPr>
          <w:sz w:val="28"/>
          <w:szCs w:val="28"/>
        </w:rPr>
        <w:t xml:space="preserve">й. Это могут быть условия об отсрочке, рассрочке исполнения обязательств ответчиком, об уступке прав требования, о полном или частичном прощении либо признании долга, санкции за неисполнение или ненадлежащее исполнение обязательств, порядок распределении с</w:t>
      </w:r>
      <w:r>
        <w:rPr>
          <w:sz w:val="28"/>
          <w:szCs w:val="28"/>
        </w:rPr>
        <w:t xml:space="preserve">удебных расходов и иные условия, не противоречащие закону.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Мировое соглашение исполняется сторонами добровольно и в сроки, установленные таким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Вступившее в законную силу определение суда об утверждении мирового соглашения является одним из оснований для регистрации прав                     на недвижимость.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прав участникам мирового соглашения необходимо подать заявления в соответствии с условиями такого соглашения (о регистрации перехода права собственности, о регистрации права общей долевой собственности и другие).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К заявлениям о регистрации прав прилагается: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заверенная судом копия определения суда об утверждении мирового соглашения;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подлинник нотариально удостоверенной доверенности представителя, если заявление подано представителем заявителя.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48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Лицам, у которых по мировому соглашению возникают права                          на недвижимость, следует уплатить государственную пошлину в размерах, установленных статьей 333.33 Налогового кодекса Российской Федерации.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  <w:r>
        <w:rPr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302</cp:revision>
  <dcterms:created xsi:type="dcterms:W3CDTF">2009-04-08T02:19:00Z</dcterms:created>
  <dcterms:modified xsi:type="dcterms:W3CDTF">2025-07-09T01:16:44Z</dcterms:modified>
  <cp:version>917504</cp:version>
</cp:coreProperties>
</file>